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EF" w:rsidRDefault="00445584" w:rsidP="007732EF">
      <w:pPr>
        <w:spacing w:after="120" w:line="240" w:lineRule="auto"/>
        <w:ind w:left="5529"/>
        <w:jc w:val="right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710565" cy="953135"/>
            <wp:effectExtent l="0" t="0" r="0" b="0"/>
            <wp:wrapThrough wrapText="bothSides">
              <wp:wrapPolygon edited="0">
                <wp:start x="579" y="432"/>
                <wp:lineTo x="579" y="15973"/>
                <wp:lineTo x="6949" y="19427"/>
                <wp:lineTo x="8107" y="20290"/>
                <wp:lineTo x="12161" y="20290"/>
                <wp:lineTo x="17373" y="17700"/>
                <wp:lineTo x="19689" y="15973"/>
                <wp:lineTo x="17373" y="15110"/>
                <wp:lineTo x="17373" y="8203"/>
                <wp:lineTo x="19689" y="432"/>
                <wp:lineTo x="579" y="43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EF" w:rsidRPr="007732E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7732EF" w:rsidRPr="00B72191">
        <w:rPr>
          <w:rStyle w:val="rvts0"/>
          <w:rFonts w:ascii="Times New Roman" w:hAnsi="Times New Roman" w:cs="Times New Roman"/>
          <w:sz w:val="28"/>
          <w:szCs w:val="28"/>
        </w:rPr>
        <w:t>ПРОЄКТ</w:t>
      </w:r>
    </w:p>
    <w:p w:rsidR="007732EF" w:rsidRDefault="007732EF" w:rsidP="00445584">
      <w:pPr>
        <w:pStyle w:val="a4"/>
        <w:spacing w:before="240"/>
        <w:rPr>
          <w:rFonts w:ascii="Times New Roman" w:hAnsi="Times New Roman"/>
          <w:smallCaps/>
          <w:sz w:val="28"/>
          <w:szCs w:val="28"/>
        </w:rPr>
      </w:pPr>
    </w:p>
    <w:p w:rsidR="007732EF" w:rsidRDefault="007732EF" w:rsidP="00445584">
      <w:pPr>
        <w:pStyle w:val="a4"/>
        <w:spacing w:before="240"/>
        <w:rPr>
          <w:rFonts w:ascii="Times New Roman" w:hAnsi="Times New Roman"/>
          <w:smallCaps/>
          <w:sz w:val="28"/>
          <w:szCs w:val="28"/>
        </w:rPr>
      </w:pPr>
    </w:p>
    <w:p w:rsidR="007732EF" w:rsidRDefault="007732EF" w:rsidP="00445584">
      <w:pPr>
        <w:pStyle w:val="a4"/>
        <w:spacing w:before="240"/>
        <w:rPr>
          <w:rFonts w:ascii="Times New Roman" w:hAnsi="Times New Roman"/>
          <w:smallCaps/>
          <w:sz w:val="28"/>
          <w:szCs w:val="28"/>
        </w:rPr>
      </w:pPr>
    </w:p>
    <w:p w:rsidR="00445584" w:rsidRDefault="00445584" w:rsidP="00445584">
      <w:pPr>
        <w:pStyle w:val="a4"/>
        <w:spacing w:before="240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КАБІНЕТ МІНІСТРІВ УКРАЇНИ</w:t>
      </w:r>
    </w:p>
    <w:p w:rsidR="00445584" w:rsidRDefault="00445584" w:rsidP="004455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ПОСТАНОВА</w:t>
      </w:r>
    </w:p>
    <w:p w:rsidR="00445584" w:rsidRPr="00800467" w:rsidRDefault="00445584" w:rsidP="0044558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                          20</w:t>
      </w:r>
      <w:r w:rsidRPr="00800467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800467">
        <w:rPr>
          <w:rFonts w:ascii="Times New Roman" w:hAnsi="Times New Roman"/>
          <w:sz w:val="28"/>
          <w:szCs w:val="28"/>
        </w:rPr>
        <w:t xml:space="preserve">№ </w:t>
      </w:r>
    </w:p>
    <w:p w:rsidR="00445584" w:rsidRDefault="00445584" w:rsidP="0044558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</w:t>
      </w:r>
    </w:p>
    <w:p w:rsidR="00445584" w:rsidRDefault="00445584" w:rsidP="00445584">
      <w:pPr>
        <w:pStyle w:val="a6"/>
        <w:rPr>
          <w:rFonts w:ascii="Times New Roman" w:hAnsi="Times New Roman"/>
          <w:sz w:val="28"/>
          <w:szCs w:val="28"/>
        </w:rPr>
      </w:pPr>
    </w:p>
    <w:p w:rsidR="00445584" w:rsidRPr="00445584" w:rsidRDefault="00445584" w:rsidP="00445584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особливостей </w:t>
      </w:r>
      <w:r w:rsidRPr="00445584">
        <w:rPr>
          <w:rStyle w:val="rvts0"/>
          <w:rFonts w:ascii="Times New Roman" w:hAnsi="Times New Roman"/>
          <w:sz w:val="28"/>
          <w:szCs w:val="28"/>
        </w:rPr>
        <w:t>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</w:p>
    <w:p w:rsidR="00445584" w:rsidRDefault="00445584" w:rsidP="00445584">
      <w:pPr>
        <w:pStyle w:val="a3"/>
        <w:rPr>
          <w:rFonts w:ascii="Calibri" w:hAnsi="Calibri"/>
        </w:rPr>
      </w:pPr>
    </w:p>
    <w:p w:rsidR="00445584" w:rsidRDefault="00445584" w:rsidP="004455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>
        <w:rPr>
          <w:rFonts w:ascii="Times New Roman" w:hAnsi="Times New Roman"/>
          <w:b/>
          <w:sz w:val="28"/>
          <w:szCs w:val="28"/>
        </w:rPr>
        <w:t>постановляє:</w:t>
      </w:r>
    </w:p>
    <w:p w:rsidR="00445584" w:rsidRDefault="00445584" w:rsidP="004455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5584" w:rsidRDefault="00445584" w:rsidP="00445584">
      <w:pPr>
        <w:pStyle w:val="a3"/>
        <w:spacing w:before="0"/>
        <w:rPr>
          <w:rStyle w:val="rvts0"/>
        </w:rPr>
      </w:pPr>
      <w:r w:rsidRPr="004455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Затвердити </w:t>
      </w:r>
      <w:r w:rsidRPr="00445584">
        <w:rPr>
          <w:rFonts w:ascii="Times New Roman" w:hAnsi="Times New Roman"/>
          <w:sz w:val="28"/>
          <w:szCs w:val="28"/>
        </w:rPr>
        <w:t>о</w:t>
      </w:r>
      <w:r w:rsidRPr="00445584">
        <w:rPr>
          <w:rStyle w:val="rvts0"/>
          <w:rFonts w:ascii="Times New Roman" w:hAnsi="Times New Roman"/>
          <w:sz w:val="28"/>
          <w:szCs w:val="28"/>
        </w:rPr>
        <w:t>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регулювання,</w:t>
      </w:r>
      <w:r>
        <w:rPr>
          <w:rStyle w:val="rvts0"/>
          <w:rFonts w:ascii="Times New Roman" w:hAnsi="Times New Roman"/>
          <w:sz w:val="28"/>
          <w:szCs w:val="28"/>
        </w:rPr>
        <w:t xml:space="preserve"> що додаються.</w:t>
      </w:r>
    </w:p>
    <w:p w:rsidR="00445584" w:rsidRDefault="00800467" w:rsidP="00445584">
      <w:pPr>
        <w:pStyle w:val="a3"/>
        <w:spacing w:before="0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2</w:t>
      </w:r>
      <w:r w:rsidR="003728B3">
        <w:rPr>
          <w:rStyle w:val="rvts0"/>
          <w:rFonts w:ascii="Times New Roman" w:hAnsi="Times New Roman"/>
          <w:sz w:val="28"/>
          <w:szCs w:val="28"/>
        </w:rPr>
        <w:t>. </w:t>
      </w:r>
      <w:r w:rsidR="00445584">
        <w:rPr>
          <w:rStyle w:val="rvts0"/>
          <w:rFonts w:ascii="Times New Roman" w:hAnsi="Times New Roman"/>
          <w:sz w:val="28"/>
          <w:szCs w:val="28"/>
        </w:rPr>
        <w:t xml:space="preserve">Ця постанова набирає чинності через два місяці з дня її опублікування. </w:t>
      </w:r>
    </w:p>
    <w:p w:rsidR="00445584" w:rsidRDefault="00445584" w:rsidP="00445584">
      <w:pPr>
        <w:pStyle w:val="1"/>
        <w:tabs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Прем’єр-міністр України</w:t>
      </w:r>
      <w:r>
        <w:rPr>
          <w:rFonts w:ascii="Times New Roman" w:hAnsi="Times New Roman"/>
          <w:position w:val="0"/>
          <w:sz w:val="28"/>
          <w:szCs w:val="28"/>
        </w:rPr>
        <w:tab/>
        <w:t xml:space="preserve">      Д. ШМИГАЛЬ</w:t>
      </w:r>
    </w:p>
    <w:p w:rsidR="008E5AD7" w:rsidRDefault="008E5AD7" w:rsidP="00445584">
      <w:pPr>
        <w:pStyle w:val="1"/>
        <w:tabs>
          <w:tab w:val="left" w:pos="6521"/>
        </w:tabs>
        <w:spacing w:before="1200"/>
        <w:rPr>
          <w:position w:val="0"/>
        </w:rPr>
        <w:sectPr w:rsidR="008E5AD7" w:rsidSect="008E5AD7">
          <w:head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445584" w:rsidRDefault="00445584">
      <w:pPr>
        <w:rPr>
          <w:rStyle w:val="rvts0"/>
          <w:rFonts w:ascii="Times New Roman" w:hAnsi="Times New Roman" w:cs="Times New Roman"/>
          <w:sz w:val="28"/>
          <w:szCs w:val="28"/>
        </w:rPr>
      </w:pPr>
    </w:p>
    <w:p w:rsidR="00B72191" w:rsidRPr="00B72191" w:rsidRDefault="00B72191" w:rsidP="00B72191">
      <w:pPr>
        <w:spacing w:after="120" w:line="240" w:lineRule="auto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B72191">
        <w:rPr>
          <w:rStyle w:val="rvts0"/>
          <w:rFonts w:ascii="Times New Roman" w:hAnsi="Times New Roman" w:cs="Times New Roman"/>
          <w:sz w:val="28"/>
          <w:szCs w:val="28"/>
        </w:rPr>
        <w:t>ПРОЄКТ</w:t>
      </w:r>
    </w:p>
    <w:p w:rsidR="00445584" w:rsidRDefault="00445584" w:rsidP="00445584">
      <w:pPr>
        <w:pStyle w:val="ShapkaDocumen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2021 р.  №</w:t>
      </w:r>
    </w:p>
    <w:p w:rsidR="00B72191" w:rsidRPr="00B72191" w:rsidRDefault="00B72191" w:rsidP="00B72191">
      <w:pPr>
        <w:spacing w:after="120" w:line="240" w:lineRule="auto"/>
        <w:jc w:val="center"/>
        <w:rPr>
          <w:rStyle w:val="rvts0"/>
          <w:rFonts w:ascii="Times New Roman" w:hAnsi="Times New Roman" w:cs="Times New Roman"/>
          <w:sz w:val="28"/>
          <w:szCs w:val="28"/>
        </w:rPr>
      </w:pPr>
    </w:p>
    <w:p w:rsidR="00B72191" w:rsidRPr="00B72191" w:rsidRDefault="00B72191" w:rsidP="00B72191">
      <w:pPr>
        <w:spacing w:after="120" w:line="240" w:lineRule="auto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B72191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</w:p>
    <w:p w:rsidR="00B72191" w:rsidRPr="00B72191" w:rsidRDefault="00B72191" w:rsidP="00B72191">
      <w:pPr>
        <w:spacing w:after="120" w:line="240" w:lineRule="auto"/>
        <w:rPr>
          <w:rStyle w:val="rvts0"/>
          <w:rFonts w:ascii="Times New Roman" w:hAnsi="Times New Roman" w:cs="Times New Roman"/>
          <w:sz w:val="28"/>
          <w:szCs w:val="28"/>
        </w:rPr>
      </w:pP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>1. У цьому документі терміни вживаються в такому значенні:</w:t>
      </w:r>
    </w:p>
    <w:p w:rsidR="0082274B" w:rsidRPr="00410165" w:rsidRDefault="0082274B" w:rsidP="00410165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група забезпечення освітньої програми, що передбачає присвоєння професійної кваліфікації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>з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професій, для яких запроваджене додаткове регулювання, – група науково-педагогічних та/або наукових працівників, які працюють у закладі вищої освіти (установі) за основним місцем роботи і мають відповідну освітню та/або професійну кваліфікацію та </w:t>
      </w:r>
      <w:r w:rsidR="00410165" w:rsidRPr="00410165">
        <w:rPr>
          <w:rStyle w:val="rvts0"/>
          <w:rFonts w:ascii="Times New Roman" w:hAnsi="Times New Roman" w:cs="Times New Roman"/>
          <w:sz w:val="28"/>
          <w:szCs w:val="28"/>
        </w:rPr>
        <w:t xml:space="preserve">які не входять (входили) </w:t>
      </w:r>
      <w:r w:rsidR="00410165" w:rsidRPr="00410165">
        <w:rPr>
          <w:rStyle w:val="rvts0"/>
          <w:rFonts w:ascii="Times New Roman" w:hAnsi="Times New Roman" w:cs="Times New Roman"/>
          <w:sz w:val="28"/>
          <w:szCs w:val="28"/>
        </w:rPr>
        <w:t xml:space="preserve">в поточному </w:t>
      </w:r>
      <w:r w:rsidR="00410165"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навчальному році </w:t>
      </w:r>
      <w:r w:rsidR="00410165" w:rsidRPr="00410165">
        <w:rPr>
          <w:rStyle w:val="rvts0"/>
          <w:rFonts w:ascii="Times New Roman" w:hAnsi="Times New Roman" w:cs="Times New Roman"/>
          <w:sz w:val="28"/>
          <w:szCs w:val="28"/>
        </w:rPr>
        <w:t xml:space="preserve">до жодної групи забезпечення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спеціальностей фахової передвищої та інших освітніх програм вищої освіти в цього або в інших здобувачів ліцензії (ліцензіатів) (далі – група забезпечення освітньої програми);</w:t>
      </w:r>
      <w:r w:rsidR="00410165" w:rsidRPr="00410165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кадрове забезпечення освітнього компоненту </w:t>
      </w:r>
      <w:r w:rsidR="001E6EA3"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освітньої програми, що передбачає присвоєння професійної кваліфікації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>з</w:t>
      </w:r>
      <w:r w:rsidR="001E6EA3"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професій, для яких запроваджене додаткове регулювання,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– </w:t>
      </w:r>
      <w:r w:rsidR="001E6EA3">
        <w:rPr>
          <w:rStyle w:val="rvts0"/>
          <w:rFonts w:ascii="Times New Roman" w:hAnsi="Times New Roman" w:cs="Times New Roman"/>
          <w:sz w:val="28"/>
          <w:szCs w:val="28"/>
        </w:rPr>
        <w:t xml:space="preserve">сукупність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всіх науково-педагогічних, наукових та/або педагогічних працівників, які реалізують освітній компонент;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освітній компонент освітньої програми, що передбачає присвоєння професійної кваліфікації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>з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професій, для яких запроваджене додаткове регулювання, – окремий складовий елемент освітньої програми, спрямований на досягнення передбачених такою програмою результатів навчання, який відображається у додатку до диплома; різновидами освітніх компонентів є навчальні дисципліни, </w:t>
      </w:r>
      <w:r w:rsidR="00800467">
        <w:rPr>
          <w:rStyle w:val="rvts0"/>
          <w:rFonts w:ascii="Times New Roman" w:hAnsi="Times New Roman" w:cs="Times New Roman"/>
          <w:sz w:val="28"/>
          <w:szCs w:val="28"/>
        </w:rPr>
        <w:t xml:space="preserve">індивідуальні завдання,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контрольні заходи тощо (далі – освітній компонент).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2. Ліцензування освітньої діяльності у сфері вищої освіти за освітніми програмами, що передбачають присвоєння професійних кваліфікацій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 xml:space="preserve">з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професій, для яких запроваджено додаткове регулювання, здійснюється за пе</w:t>
      </w:r>
      <w:r w:rsidR="00800467">
        <w:rPr>
          <w:rStyle w:val="rvts0"/>
          <w:rFonts w:ascii="Times New Roman" w:hAnsi="Times New Roman" w:cs="Times New Roman"/>
          <w:sz w:val="28"/>
          <w:szCs w:val="28"/>
        </w:rPr>
        <w:t>ршим (бакалаврським) та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другим (магістерським) рівнями вищої освіти.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3. Освітню діяльність у сфері вищої освіти за освітніми програмами, що передбачають присвоєння професійних кваліфікацій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 xml:space="preserve">з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професій, для яких запроваджено додаткове регулювання, за першим (бакалаврським) та другим (магістерським) рівнями вищої освіти можуть проводити лише: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у галузі воєнних наук, національної безпеки та безпеки державного кордону – вищі військові навчальні заклади, заклади вищої освіти із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lastRenderedPageBreak/>
        <w:t>специфічними умовами навчання та військові навчальні підрозділи закладів вищої освіти;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>у галузі цивільної безпеки – заклади вищої освіти із специфічними умовами навчання, інші заклади вищої освіти – за згодою МВС;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з права, міжнародного права – </w:t>
      </w:r>
    </w:p>
    <w:p w:rsidR="0082274B" w:rsidRPr="0082274B" w:rsidRDefault="0082274B" w:rsidP="00617D88">
      <w:pPr>
        <w:spacing w:after="120" w:line="240" w:lineRule="auto"/>
        <w:ind w:left="708"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>університети, академії, інститути, крім вищих військових навчальних закладів, закладів вищої освіти із специфічними умовами навчання та військових навчальних підрозділів закладів вищої освіти;</w:t>
      </w:r>
    </w:p>
    <w:p w:rsidR="0082274B" w:rsidRPr="0082274B" w:rsidRDefault="0082274B" w:rsidP="00617D88">
      <w:pPr>
        <w:spacing w:after="120" w:line="240" w:lineRule="auto"/>
        <w:ind w:left="708"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>вищі військові навчальні заклади, заклади вищої освіти із специфічними умовами навчання та військові навчальні підрозділи закладів вищої освіти – за державним замовленням для забезпечення потреб оборони України, державної безпеки і захисту державного кордону, інших військових формувань та правоохоронних органів, який здійснюють такі державні замовники чи за їх участю: Міноборони, МВС, Мінюст, Мінфін, СБУ, Національна поліція, Державна прикордонна служба;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>з публічного управління та адміністрування, архітектури та містобудування – університети та академії;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у разі присвоєння кваліфікацій лікаря, лікаря-стоматолога, фізичного терапевта, </w:t>
      </w:r>
      <w:proofErr w:type="spellStart"/>
      <w:r w:rsidRPr="0082274B">
        <w:rPr>
          <w:rStyle w:val="rvts0"/>
          <w:rFonts w:ascii="Times New Roman" w:hAnsi="Times New Roman" w:cs="Times New Roman"/>
          <w:sz w:val="28"/>
          <w:szCs w:val="28"/>
        </w:rPr>
        <w:t>ерготерапевта</w:t>
      </w:r>
      <w:proofErr w:type="spellEnd"/>
      <w:r w:rsidRPr="0082274B">
        <w:rPr>
          <w:rStyle w:val="rvts0"/>
          <w:rFonts w:ascii="Times New Roman" w:hAnsi="Times New Roman" w:cs="Times New Roman"/>
          <w:sz w:val="28"/>
          <w:szCs w:val="28"/>
        </w:rPr>
        <w:t>, ветеринарного лікаря, провізора – університети, академії та інститути.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>4. У разі ліцензування освітньої діяльності за освітніми програмами, що передбачають присвоєння професійної кваліфікації з професій, для яких запроваджено додаткове регулювання, виїзна ліцензійна експертиза та перевірка додержання ліцензіатами ліцензійних вимог проводяться із залученням представників органів державної влади, які реалізують державну політику у відповідній сфері. Перелік таких органів у розрізі спеціальностей підготовки здобувачів вищої освіти затверджує МОН.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>5. Додержання ліцензіатами ліцензійних вимог при здійсненні освітньої діяльності за освітніми програмами, що передбачають присвоєння професійної кваліфікації з професій, для яких запроваджено додаткове регулювання, відноситься до високого ступеня ризику в розумінні Закону України «Про основні засади державного нагляду (контролю) у сфері господарської діяльності». Планові заходи державного нагляду (контролю) здійснюються органом державного нагляду (контролю) за додержанням ліцензіатами ліцензійних вимог не рідше одного разу на три роки.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6. Освітні програми, що передбачають присвоєння професійних кваліфікацій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 xml:space="preserve">з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професій, для яких запроваджено додаткове регулювання, повинні забезпечуватися навчально-методичною документацією і матеріалами з усіх освітніх компонентів. Зміст кожного з освітніх компонентів має бути представлено в мережі Інтернет або локальній мережі навчального закладу</w:t>
      </w:r>
      <w:r w:rsidR="00800467">
        <w:rPr>
          <w:rStyle w:val="rvts0"/>
          <w:rFonts w:ascii="Times New Roman" w:hAnsi="Times New Roman" w:cs="Times New Roman"/>
          <w:sz w:val="28"/>
          <w:szCs w:val="28"/>
        </w:rPr>
        <w:t xml:space="preserve"> з урахуванням </w:t>
      </w:r>
      <w:r w:rsidR="00930930">
        <w:rPr>
          <w:rStyle w:val="rvts0"/>
          <w:rFonts w:ascii="Times New Roman" w:hAnsi="Times New Roman" w:cs="Times New Roman"/>
          <w:sz w:val="28"/>
          <w:szCs w:val="28"/>
        </w:rPr>
        <w:t xml:space="preserve">у відповідних випадках </w:t>
      </w:r>
      <w:r w:rsidR="00800467">
        <w:rPr>
          <w:rStyle w:val="rvts0"/>
          <w:rFonts w:ascii="Times New Roman" w:hAnsi="Times New Roman" w:cs="Times New Roman"/>
          <w:sz w:val="28"/>
          <w:szCs w:val="28"/>
        </w:rPr>
        <w:t>законодавства</w:t>
      </w:r>
      <w:r w:rsidR="00930930">
        <w:rPr>
          <w:rStyle w:val="rvts0"/>
          <w:rFonts w:ascii="Times New Roman" w:hAnsi="Times New Roman" w:cs="Times New Roman"/>
          <w:sz w:val="28"/>
          <w:szCs w:val="28"/>
        </w:rPr>
        <w:t xml:space="preserve"> України про державну таємницю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. 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lastRenderedPageBreak/>
        <w:t xml:space="preserve">7. Освітня діяльність у сфері вищої освіти за освітніми програмами, що передбачають присвоєння професійних кваліфікацій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>з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професій, для яких запроваджено додаткове регулювання, може бути запроваджена за наявності ліцензії на освітню діяльність за відповідним рівнем вищої освіти</w:t>
      </w:r>
      <w:r w:rsidR="00766D34">
        <w:rPr>
          <w:rStyle w:val="rvts0"/>
          <w:rFonts w:ascii="Times New Roman" w:hAnsi="Times New Roman" w:cs="Times New Roman"/>
          <w:sz w:val="28"/>
          <w:szCs w:val="28"/>
        </w:rPr>
        <w:t xml:space="preserve"> та ліцензій</w:t>
      </w:r>
      <w:r w:rsidR="00766D34" w:rsidRPr="00766D34">
        <w:rPr>
          <w:rStyle w:val="rvts0"/>
          <w:rFonts w:ascii="Times New Roman" w:hAnsi="Times New Roman" w:cs="Times New Roman"/>
          <w:sz w:val="28"/>
          <w:szCs w:val="28"/>
        </w:rPr>
        <w:t xml:space="preserve"> на провадження освітньої діяльності </w:t>
      </w:r>
      <w:r w:rsidR="00766D34">
        <w:rPr>
          <w:rStyle w:val="rvts0"/>
          <w:rFonts w:ascii="Times New Roman" w:hAnsi="Times New Roman" w:cs="Times New Roman"/>
          <w:sz w:val="28"/>
          <w:szCs w:val="28"/>
        </w:rPr>
        <w:t>за відповідними освітніми програмами</w:t>
      </w:r>
      <w:r w:rsidR="00766D34" w:rsidRPr="00766D34">
        <w:rPr>
          <w:rStyle w:val="rvts0"/>
          <w:rFonts w:ascii="Times New Roman" w:hAnsi="Times New Roman" w:cs="Times New Roman"/>
          <w:sz w:val="28"/>
          <w:szCs w:val="28"/>
        </w:rPr>
        <w:t>, що передбача</w:t>
      </w:r>
      <w:r w:rsidR="00766D34">
        <w:rPr>
          <w:rStyle w:val="rvts0"/>
          <w:rFonts w:ascii="Times New Roman" w:hAnsi="Times New Roman" w:cs="Times New Roman"/>
          <w:sz w:val="28"/>
          <w:szCs w:val="28"/>
        </w:rPr>
        <w:t>ють</w:t>
      </w:r>
      <w:r w:rsidR="00766D34" w:rsidRPr="00766D34">
        <w:rPr>
          <w:rStyle w:val="rvts0"/>
          <w:rFonts w:ascii="Times New Roman" w:hAnsi="Times New Roman" w:cs="Times New Roman"/>
          <w:sz w:val="28"/>
          <w:szCs w:val="28"/>
        </w:rPr>
        <w:t xml:space="preserve"> присвоєння професійних кваліфікацій з професій, для яких зап</w:t>
      </w:r>
      <w:r w:rsidR="00766D34">
        <w:rPr>
          <w:rStyle w:val="rvts0"/>
          <w:rFonts w:ascii="Times New Roman" w:hAnsi="Times New Roman" w:cs="Times New Roman"/>
          <w:sz w:val="28"/>
          <w:szCs w:val="28"/>
        </w:rPr>
        <w:t>роваджено додаткове регулювання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. Освітня діяльність у сфері вищої освіти за освітніми програмами, що передбачають присвоєння професійних кваліфікацій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>з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професій, для яких запроваджено додаткове регулювання, які передбачають підготовку магістрів на основі профільної середньої освіти (фахової передвищої освіти, початкового рівня (короткого циклу) вищої освіти), може бути за</w:t>
      </w:r>
      <w:r w:rsidR="00766D34">
        <w:rPr>
          <w:rStyle w:val="rvts0"/>
          <w:rFonts w:ascii="Times New Roman" w:hAnsi="Times New Roman" w:cs="Times New Roman"/>
          <w:sz w:val="28"/>
          <w:szCs w:val="28"/>
        </w:rPr>
        <w:t>проваджена за наявності ліцензій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на освітню діяльність за першим (бакалаврським) та другим (магістерським) рівнями вищої освіти</w:t>
      </w:r>
      <w:r w:rsidR="00766D34">
        <w:rPr>
          <w:rStyle w:val="rvts0"/>
          <w:rFonts w:ascii="Times New Roman" w:hAnsi="Times New Roman" w:cs="Times New Roman"/>
          <w:sz w:val="28"/>
          <w:szCs w:val="28"/>
        </w:rPr>
        <w:t xml:space="preserve"> та ліцензій</w:t>
      </w:r>
      <w:r w:rsidR="00766D34" w:rsidRPr="00766D34">
        <w:rPr>
          <w:rStyle w:val="rvts0"/>
          <w:rFonts w:ascii="Times New Roman" w:hAnsi="Times New Roman" w:cs="Times New Roman"/>
          <w:sz w:val="28"/>
          <w:szCs w:val="28"/>
        </w:rPr>
        <w:t xml:space="preserve"> на провадження освітньої діяльності </w:t>
      </w:r>
      <w:r w:rsidR="00766D34">
        <w:rPr>
          <w:rStyle w:val="rvts0"/>
          <w:rFonts w:ascii="Times New Roman" w:hAnsi="Times New Roman" w:cs="Times New Roman"/>
          <w:sz w:val="28"/>
          <w:szCs w:val="28"/>
        </w:rPr>
        <w:t>за відповідними освітніми програмами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82274B" w:rsidRPr="0082274B" w:rsidRDefault="00077CF6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8. </w:t>
      </w:r>
      <w:r w:rsidR="0082274B"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Ліцензіат при провадженні освітньої діяльності повинен використовувати не менше п’ятдесяти відсотків ліцензованого обсягу в кожний завершений </w:t>
      </w:r>
      <w:r w:rsidR="008203BC" w:rsidRPr="008203BC">
        <w:rPr>
          <w:rStyle w:val="rvts0"/>
          <w:rFonts w:ascii="Times New Roman" w:hAnsi="Times New Roman" w:cs="Times New Roman"/>
          <w:sz w:val="28"/>
          <w:szCs w:val="28"/>
        </w:rPr>
        <w:t xml:space="preserve">календарний </w:t>
      </w:r>
      <w:r w:rsidR="0082274B"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рік прийому, переведення, поновлення здобувачів освіти за розрахунковий строк підготовки на певному рівні вищої освіти або за певною освітньою програмою, що передбачає присвоєння професійної кваліфікації з професій, для яких запроваджено додаткове регулювання. 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9. </w:t>
      </w:r>
      <w:r w:rsidR="00B37D54">
        <w:rPr>
          <w:rStyle w:val="rvts0"/>
          <w:rFonts w:ascii="Times New Roman" w:hAnsi="Times New Roman" w:cs="Times New Roman"/>
          <w:sz w:val="28"/>
          <w:szCs w:val="28"/>
        </w:rPr>
        <w:t>М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інімальні </w:t>
      </w:r>
      <w:r w:rsidR="00B37D54">
        <w:rPr>
          <w:rStyle w:val="rvts0"/>
          <w:rFonts w:ascii="Times New Roman" w:hAnsi="Times New Roman" w:cs="Times New Roman"/>
          <w:sz w:val="28"/>
          <w:szCs w:val="28"/>
        </w:rPr>
        <w:t>с</w:t>
      </w:r>
      <w:r w:rsidR="00B37D54"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пецифічні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вимоги до груп забезпечення освітніх програм, що передбачають присвоєння професійної кваліфікації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 xml:space="preserve">з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професій, для яких запроваджене додаткове регулювання, та кадрового забезпечення освітніх компонентів у закладі вищої освіти (науковій установі, закладі фахової передвищої освіти, територіально відокремленому структурному підрозділі закладу вищої освіти) визначені окремо для кожної спеціальності та рівня вищої освіти</w:t>
      </w:r>
      <w:r w:rsidR="00FA2D7F">
        <w:rPr>
          <w:rStyle w:val="rvts0"/>
          <w:rFonts w:ascii="Times New Roman" w:hAnsi="Times New Roman" w:cs="Times New Roman"/>
          <w:sz w:val="28"/>
          <w:szCs w:val="28"/>
        </w:rPr>
        <w:t xml:space="preserve"> (додається)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. Якщо </w:t>
      </w:r>
      <w:r w:rsidR="00416445">
        <w:rPr>
          <w:rStyle w:val="rvts0"/>
          <w:rFonts w:ascii="Times New Roman" w:hAnsi="Times New Roman" w:cs="Times New Roman"/>
          <w:sz w:val="28"/>
          <w:szCs w:val="28"/>
        </w:rPr>
        <w:t xml:space="preserve">в особливостях </w:t>
      </w:r>
      <w:r w:rsidR="000A53C5">
        <w:rPr>
          <w:rStyle w:val="rvts0"/>
          <w:rFonts w:ascii="Times New Roman" w:hAnsi="Times New Roman" w:cs="Times New Roman"/>
          <w:sz w:val="28"/>
          <w:szCs w:val="28"/>
        </w:rPr>
        <w:t xml:space="preserve">ліцензування освітньої програми відповідного рівня та спеціальності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не визначено інше, застосовуються мінімальні вимоги, встановлені пунктами 35-38 Ліцензійних умов</w:t>
      </w:r>
      <w:r w:rsidR="00781B10" w:rsidRPr="00781B1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781B10" w:rsidRPr="0082274B">
        <w:rPr>
          <w:rStyle w:val="rvts0"/>
          <w:rFonts w:ascii="Times New Roman" w:hAnsi="Times New Roman" w:cs="Times New Roman"/>
          <w:sz w:val="28"/>
          <w:szCs w:val="28"/>
        </w:rPr>
        <w:t>провадження освітньої діяльності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, затверджених постановою Кабінету Міністрів України від ХХ.ХХ.2021 № ХХХ «Про внесення змін до Ліцензійних умов провадження освітньої діяльн</w:t>
      </w:r>
      <w:r w:rsidR="00B37D54">
        <w:rPr>
          <w:rStyle w:val="rvts0"/>
          <w:rFonts w:ascii="Times New Roman" w:hAnsi="Times New Roman" w:cs="Times New Roman"/>
          <w:sz w:val="28"/>
          <w:szCs w:val="28"/>
        </w:rPr>
        <w:t>ості» (далі – Ліцензійні умови).</w:t>
      </w:r>
    </w:p>
    <w:p w:rsidR="0082274B" w:rsidRP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Ліцензіат повинен забезпечити кожний освітній компонент освітньої програми з конкретної спеціальності та рівня вищої освіти, що передбачає присвоєння професійної кваліфікації </w:t>
      </w:r>
      <w:r w:rsidR="00266E93">
        <w:rPr>
          <w:rStyle w:val="rvts0"/>
          <w:rFonts w:ascii="Times New Roman" w:hAnsi="Times New Roman" w:cs="Times New Roman"/>
          <w:sz w:val="28"/>
          <w:szCs w:val="28"/>
        </w:rPr>
        <w:t>з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професій, для яких запроваджене додаткове регулювання, науково-педагогічними та науковими працівниками з урахуванням відповідності їх освітньої та/або професійної кваліфікації та наявності не менше </w:t>
      </w:r>
      <w:r w:rsidR="00557DA8">
        <w:rPr>
          <w:rStyle w:val="rvts0"/>
          <w:rFonts w:ascii="Times New Roman" w:hAnsi="Times New Roman" w:cs="Times New Roman"/>
          <w:sz w:val="28"/>
          <w:szCs w:val="28"/>
        </w:rPr>
        <w:t>п’яти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досягнень у професійній діяльності за останні п’ять років, перелічених в пункті 38 Ліцензійних умов. Науково-педагогічні та наукові працівники з відповідною кваліфікацією повинні забезпечувати не менше 80% загального обсягу обов’язкових освітніх компонентів (у кредитах ЄКТС). </w:t>
      </w:r>
    </w:p>
    <w:p w:rsidR="0082274B" w:rsidRDefault="0082274B" w:rsidP="0082274B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Відповідність кваліфікації науково-педагогічних та наукових працівників освітньому компоненту визначається згідно з пунктом 37 Ліцензійних умов. Для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lastRenderedPageBreak/>
        <w:t>решти компонентів ліцензіат оприлюднює в Реєстрі педагогічних працівників інші обґрунтування відповідності кваліфікації.</w:t>
      </w:r>
    </w:p>
    <w:p w:rsidR="00B37D54" w:rsidRPr="0082274B" w:rsidRDefault="00B37D54" w:rsidP="00B37D54">
      <w:pPr>
        <w:spacing w:after="12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10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rvts0"/>
          <w:rFonts w:ascii="Times New Roman" w:hAnsi="Times New Roman" w:cs="Times New Roman"/>
          <w:sz w:val="28"/>
          <w:szCs w:val="28"/>
        </w:rPr>
        <w:t>М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інімальні </w:t>
      </w:r>
      <w:r>
        <w:rPr>
          <w:rStyle w:val="rvts0"/>
          <w:rFonts w:ascii="Times New Roman" w:hAnsi="Times New Roman" w:cs="Times New Roman"/>
          <w:sz w:val="28"/>
          <w:szCs w:val="28"/>
        </w:rPr>
        <w:t>с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пецифічні</w:t>
      </w:r>
      <w:r w:rsidRPr="00B37D54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 w:cs="Times New Roman"/>
          <w:sz w:val="28"/>
          <w:szCs w:val="28"/>
        </w:rPr>
        <w:t>технологічні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вимоги 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до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освітніх програм, що передбачають присвоєння професійної кваліфікації 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з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професій, для яких запроваджене додаткове регулювання, визначені окремо для кожної спеціальності та рівня вищої освіти </w:t>
      </w:r>
      <w:r w:rsidR="00FA2D7F">
        <w:rPr>
          <w:rStyle w:val="rvts0"/>
          <w:rFonts w:ascii="Times New Roman" w:hAnsi="Times New Roman" w:cs="Times New Roman"/>
          <w:sz w:val="28"/>
          <w:szCs w:val="28"/>
        </w:rPr>
        <w:t>(додається)</w:t>
      </w:r>
      <w:r w:rsidR="00FA2D7F"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. </w:t>
      </w:r>
      <w:r w:rsidR="000A53C5"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Якщо </w:t>
      </w:r>
      <w:r w:rsidR="000A53C5">
        <w:rPr>
          <w:rStyle w:val="rvts0"/>
          <w:rFonts w:ascii="Times New Roman" w:hAnsi="Times New Roman" w:cs="Times New Roman"/>
          <w:sz w:val="28"/>
          <w:szCs w:val="28"/>
        </w:rPr>
        <w:t xml:space="preserve">в особливостях ліцензування освітньої програми відповідного рівня та спеціальності </w:t>
      </w:r>
      <w:r w:rsidR="000A53C5"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не визначено інше,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застосовуються мінімал</w:t>
      </w:r>
      <w:r w:rsidR="00FA2D7F">
        <w:rPr>
          <w:rStyle w:val="rvts0"/>
          <w:rFonts w:ascii="Times New Roman" w:hAnsi="Times New Roman" w:cs="Times New Roman"/>
          <w:sz w:val="28"/>
          <w:szCs w:val="28"/>
        </w:rPr>
        <w:t>ьні вимоги, встановлені пунктом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FA2D7F">
        <w:rPr>
          <w:rStyle w:val="rvts0"/>
          <w:rFonts w:ascii="Times New Roman" w:hAnsi="Times New Roman" w:cs="Times New Roman"/>
          <w:sz w:val="28"/>
          <w:szCs w:val="28"/>
        </w:rPr>
        <w:t xml:space="preserve">39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Ліцензійних умов</w:t>
      </w:r>
      <w:r w:rsidRPr="00781B1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82274B">
        <w:rPr>
          <w:rStyle w:val="rvts0"/>
          <w:rFonts w:ascii="Times New Roman" w:hAnsi="Times New Roman" w:cs="Times New Roman"/>
          <w:sz w:val="28"/>
          <w:szCs w:val="28"/>
        </w:rPr>
        <w:t>провадження освітньої діяльності, затверджених постановою Кабінету Міністрів України від ХХ.ХХ.2021 № ХХХ «Про внесення змін до Ліцензійних умов провадження освітньої діяльн</w:t>
      </w:r>
      <w:r>
        <w:rPr>
          <w:rStyle w:val="rvts0"/>
          <w:rFonts w:ascii="Times New Roman" w:hAnsi="Times New Roman" w:cs="Times New Roman"/>
          <w:sz w:val="28"/>
          <w:szCs w:val="28"/>
        </w:rPr>
        <w:t>ості» (далі – Ліцензійні умови).</w:t>
      </w:r>
    </w:p>
    <w:p w:rsidR="00B37D54" w:rsidRPr="00B72191" w:rsidRDefault="00B37D54" w:rsidP="0082274B">
      <w:pPr>
        <w:spacing w:after="120" w:line="240" w:lineRule="auto"/>
        <w:ind w:firstLine="709"/>
        <w:jc w:val="both"/>
      </w:pPr>
    </w:p>
    <w:sectPr w:rsidR="00B37D54" w:rsidRPr="00B72191" w:rsidSect="008E5AD7"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D5" w:rsidRDefault="005265D5" w:rsidP="008E5AD7">
      <w:pPr>
        <w:spacing w:after="0" w:line="240" w:lineRule="auto"/>
      </w:pPr>
      <w:r>
        <w:separator/>
      </w:r>
    </w:p>
  </w:endnote>
  <w:endnote w:type="continuationSeparator" w:id="0">
    <w:p w:rsidR="005265D5" w:rsidRDefault="005265D5" w:rsidP="008E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D5" w:rsidRDefault="005265D5" w:rsidP="008E5AD7">
      <w:pPr>
        <w:spacing w:after="0" w:line="240" w:lineRule="auto"/>
      </w:pPr>
      <w:r>
        <w:separator/>
      </w:r>
    </w:p>
  </w:footnote>
  <w:footnote w:type="continuationSeparator" w:id="0">
    <w:p w:rsidR="005265D5" w:rsidRDefault="005265D5" w:rsidP="008E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E5AD7" w:rsidRPr="008E5AD7" w:rsidRDefault="008E5AD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8E5AD7">
          <w:rPr>
            <w:rFonts w:ascii="Times New Roman" w:hAnsi="Times New Roman" w:cs="Times New Roman"/>
            <w:sz w:val="24"/>
          </w:rPr>
          <w:fldChar w:fldCharType="begin"/>
        </w:r>
        <w:r w:rsidRPr="008E5AD7">
          <w:rPr>
            <w:rFonts w:ascii="Times New Roman" w:hAnsi="Times New Roman" w:cs="Times New Roman"/>
            <w:sz w:val="24"/>
          </w:rPr>
          <w:instrText>PAGE   \* MERGEFORMAT</w:instrText>
        </w:r>
        <w:r w:rsidRPr="008E5AD7">
          <w:rPr>
            <w:rFonts w:ascii="Times New Roman" w:hAnsi="Times New Roman" w:cs="Times New Roman"/>
            <w:sz w:val="24"/>
          </w:rPr>
          <w:fldChar w:fldCharType="separate"/>
        </w:r>
        <w:r w:rsidR="00410165">
          <w:rPr>
            <w:rFonts w:ascii="Times New Roman" w:hAnsi="Times New Roman" w:cs="Times New Roman"/>
            <w:noProof/>
            <w:sz w:val="24"/>
          </w:rPr>
          <w:t>4</w:t>
        </w:r>
        <w:r w:rsidRPr="008E5AD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E5AD7" w:rsidRDefault="008E5AD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1"/>
    <w:rsid w:val="00077CF6"/>
    <w:rsid w:val="000A53C5"/>
    <w:rsid w:val="001B677C"/>
    <w:rsid w:val="001E6EA3"/>
    <w:rsid w:val="00266E93"/>
    <w:rsid w:val="002A3582"/>
    <w:rsid w:val="003728B3"/>
    <w:rsid w:val="003E244C"/>
    <w:rsid w:val="00410165"/>
    <w:rsid w:val="0041220B"/>
    <w:rsid w:val="00416445"/>
    <w:rsid w:val="00445584"/>
    <w:rsid w:val="005265D5"/>
    <w:rsid w:val="00557DA8"/>
    <w:rsid w:val="005A4C63"/>
    <w:rsid w:val="00617D88"/>
    <w:rsid w:val="00647248"/>
    <w:rsid w:val="006B5E4B"/>
    <w:rsid w:val="00766D34"/>
    <w:rsid w:val="007732EF"/>
    <w:rsid w:val="00781B10"/>
    <w:rsid w:val="00800467"/>
    <w:rsid w:val="008203BC"/>
    <w:rsid w:val="0082274B"/>
    <w:rsid w:val="00850F88"/>
    <w:rsid w:val="008E5AD7"/>
    <w:rsid w:val="00930930"/>
    <w:rsid w:val="009D1EBF"/>
    <w:rsid w:val="00A23757"/>
    <w:rsid w:val="00A55408"/>
    <w:rsid w:val="00B37D54"/>
    <w:rsid w:val="00B72191"/>
    <w:rsid w:val="00B76A97"/>
    <w:rsid w:val="00F314EE"/>
    <w:rsid w:val="00FA2D7F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ED39"/>
  <w15:chartTrackingRefBased/>
  <w15:docId w15:val="{7F506B81-0C3D-48F6-8593-BBFF6AA2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72191"/>
  </w:style>
  <w:style w:type="paragraph" w:customStyle="1" w:styleId="a3">
    <w:name w:val="Нормальний текст"/>
    <w:basedOn w:val="a"/>
    <w:rsid w:val="00445584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Підпис1"/>
    <w:basedOn w:val="a"/>
    <w:rsid w:val="00445584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4">
    <w:name w:val="Установа"/>
    <w:basedOn w:val="a"/>
    <w:rsid w:val="00445584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5">
    <w:name w:val="Вид документа"/>
    <w:basedOn w:val="a4"/>
    <w:next w:val="a"/>
    <w:rsid w:val="00445584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445584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3"/>
    <w:rsid w:val="0044558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4558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732E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5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E5AD7"/>
  </w:style>
  <w:style w:type="paragraph" w:styleId="ac">
    <w:name w:val="footer"/>
    <w:basedOn w:val="a"/>
    <w:link w:val="ad"/>
    <w:uiPriority w:val="99"/>
    <w:unhideWhenUsed/>
    <w:rsid w:val="008E5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E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6100</Words>
  <Characters>3477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Мруга Марина Рашидівна</cp:lastModifiedBy>
  <cp:revision>12</cp:revision>
  <cp:lastPrinted>2021-02-23T11:20:00Z</cp:lastPrinted>
  <dcterms:created xsi:type="dcterms:W3CDTF">2021-02-23T04:50:00Z</dcterms:created>
  <dcterms:modified xsi:type="dcterms:W3CDTF">2021-02-23T14:04:00Z</dcterms:modified>
</cp:coreProperties>
</file>